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FD3" w:rsidRPr="00601FD3" w:rsidRDefault="00601FD3" w:rsidP="00601FD3">
      <w:pPr>
        <w:tabs>
          <w:tab w:val="left" w:pos="8280"/>
        </w:tabs>
        <w:spacing w:afterLines="20" w:after="48"/>
        <w:rPr>
          <w:rStyle w:val="af9"/>
          <w:rFonts w:ascii="Arial" w:eastAsia="宋体" w:hAnsi="Arial" w:cs="Arial"/>
        </w:rPr>
      </w:pPr>
      <w:bookmarkStart w:id="0" w:name="Title"/>
      <w:bookmarkEnd w:id="0"/>
      <w:r w:rsidRPr="00601FD3">
        <w:rPr>
          <w:rStyle w:val="af9"/>
          <w:rFonts w:ascii="Arial" w:eastAsia="宋体" w:hAnsi="Arial" w:cs="Arial"/>
        </w:rPr>
        <w:t xml:space="preserve">3GPP TSG-RAN WG4 Meeting # 96-e </w:t>
      </w:r>
      <w:r w:rsidRPr="00601FD3">
        <w:rPr>
          <w:rStyle w:val="af9"/>
          <w:rFonts w:ascii="Arial" w:eastAsia="宋体" w:hAnsi="Arial" w:cs="Arial"/>
        </w:rPr>
        <w:tab/>
      </w:r>
      <w:r w:rsidRPr="00C43718">
        <w:rPr>
          <w:rStyle w:val="af9"/>
          <w:rFonts w:ascii="Arial" w:eastAsia="宋体" w:hAnsi="Arial" w:cs="Arial"/>
        </w:rPr>
        <w:t>R4-200</w:t>
      </w:r>
      <w:r w:rsidR="00C43718" w:rsidRPr="00C43718">
        <w:rPr>
          <w:rStyle w:val="af9"/>
          <w:rFonts w:ascii="Arial" w:eastAsia="宋体" w:hAnsi="Arial" w:cs="Arial" w:hint="eastAsia"/>
        </w:rPr>
        <w:t>9798</w:t>
      </w:r>
    </w:p>
    <w:p w:rsidR="00601FD3" w:rsidRPr="00601FD3" w:rsidRDefault="00601FD3" w:rsidP="00601FD3">
      <w:pPr>
        <w:tabs>
          <w:tab w:val="left" w:pos="8280"/>
        </w:tabs>
        <w:spacing w:afterLines="20" w:after="48"/>
        <w:rPr>
          <w:rStyle w:val="af9"/>
          <w:rFonts w:ascii="Arial" w:eastAsia="宋体" w:hAnsi="Arial" w:cs="Arial"/>
        </w:rPr>
      </w:pPr>
      <w:r w:rsidRPr="00601FD3">
        <w:rPr>
          <w:rStyle w:val="af9"/>
          <w:rFonts w:ascii="Arial" w:eastAsia="宋体" w:hAnsi="Arial" w:cs="Arial"/>
        </w:rPr>
        <w:t>Electronic Meeting, 17-28 Aug., 2020</w:t>
      </w:r>
    </w:p>
    <w:p w:rsidR="00A13C4C" w:rsidRPr="00973F3A"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11FD8" w:rsidRPr="00411FD8">
        <w:rPr>
          <w:rFonts w:ascii="Arial" w:hAnsi="Arial" w:cs="Arial"/>
          <w:b w:val="0"/>
        </w:rPr>
        <w:t>Discussion on numerology and CBW for above 52.6 GHz</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601FD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01FD3" w:rsidRPr="00601FD3">
        <w:rPr>
          <w:rFonts w:ascii="Arial" w:hAnsi="Arial" w:cs="Arial" w:hint="eastAsia"/>
          <w:b w:val="0"/>
        </w:rPr>
        <w:t>13.2.2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355C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7C4206" w:rsidRDefault="00C43718" w:rsidP="004C4C7A">
      <w:pPr>
        <w:spacing w:before="0" w:after="120"/>
        <w:jc w:val="left"/>
        <w:rPr>
          <w:sz w:val="20"/>
          <w:lang w:val="en-US"/>
        </w:rPr>
      </w:pPr>
      <w:r>
        <w:rPr>
          <w:rFonts w:hint="eastAsia"/>
          <w:sz w:val="20"/>
          <w:lang w:val="en-US"/>
        </w:rPr>
        <w:t xml:space="preserve">The SI </w:t>
      </w:r>
      <w:r>
        <w:rPr>
          <w:sz w:val="20"/>
          <w:lang w:val="en-US"/>
        </w:rPr>
        <w:t>“</w:t>
      </w:r>
      <w:r w:rsidRPr="003A26C8">
        <w:rPr>
          <w:sz w:val="20"/>
          <w:szCs w:val="20"/>
        </w:rPr>
        <w:t>Study on supporting NR from 52.6GHz to 71 GHz</w:t>
      </w:r>
      <w:r>
        <w:rPr>
          <w:sz w:val="20"/>
          <w:szCs w:val="20"/>
        </w:rPr>
        <w:t>”</w:t>
      </w:r>
      <w:r>
        <w:rPr>
          <w:rFonts w:hint="eastAsia"/>
          <w:sz w:val="20"/>
          <w:szCs w:val="20"/>
        </w:rPr>
        <w:t xml:space="preserve"> is started and one of the important issues is to discuss and decide the </w:t>
      </w:r>
      <w:r>
        <w:rPr>
          <w:sz w:val="20"/>
          <w:szCs w:val="20"/>
        </w:rPr>
        <w:t>numerology</w:t>
      </w:r>
      <w:r>
        <w:rPr>
          <w:rFonts w:hint="eastAsia"/>
          <w:sz w:val="20"/>
          <w:szCs w:val="20"/>
        </w:rPr>
        <w:t xml:space="preserve"> and CBW. This contribution provides our views.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01FD3" w:rsidRPr="006E120B" w:rsidRDefault="006E120B" w:rsidP="002244BC">
      <w:r w:rsidRPr="006E120B">
        <w:rPr>
          <w:rFonts w:hint="eastAsia"/>
        </w:rPr>
        <w:t xml:space="preserve">Channel Bandwidth support capability </w:t>
      </w:r>
      <w:r>
        <w:rPr>
          <w:rFonts w:hint="eastAsia"/>
        </w:rPr>
        <w:t>is related to ADC/DAC sampling rate and Baseband processing capability</w:t>
      </w:r>
      <w:r w:rsidR="00C43718">
        <w:rPr>
          <w:rFonts w:hint="eastAsia"/>
        </w:rPr>
        <w:t xml:space="preserve"> for both BS and UE</w:t>
      </w:r>
      <w:r>
        <w:rPr>
          <w:rFonts w:hint="eastAsia"/>
        </w:rPr>
        <w:t xml:space="preserve">. For OFDM system, the sampling rate should be at least equal or larger than the baseband sampling rate in order to make FFT valid. For contiguous CA, ADC/DAC sampling rate should at least equal or larger than the signal BW. In the latest TS 38.101-2, the largest </w:t>
      </w:r>
      <w:r w:rsidRPr="006E120B">
        <w:rPr>
          <w:rFonts w:hint="eastAsia"/>
        </w:rPr>
        <w:t xml:space="preserve">aggregated channel bandwidth is 1200MHz. </w:t>
      </w:r>
    </w:p>
    <w:p w:rsidR="00601FD3" w:rsidRDefault="00601FD3" w:rsidP="002244BC">
      <w:pPr>
        <w:rPr>
          <w:b/>
        </w:rPr>
      </w:pPr>
      <w:r>
        <w:rPr>
          <w:rFonts w:hint="eastAsia"/>
          <w:b/>
        </w:rPr>
        <w:t>Observation: The</w:t>
      </w:r>
      <w:r w:rsidR="006E120B">
        <w:rPr>
          <w:rFonts w:hint="eastAsia"/>
          <w:b/>
        </w:rPr>
        <w:t xml:space="preserve"> FR2</w:t>
      </w:r>
      <w:r>
        <w:rPr>
          <w:rFonts w:hint="eastAsia"/>
          <w:b/>
        </w:rPr>
        <w:t xml:space="preserve"> largest aggregated channel bandwidth </w:t>
      </w:r>
      <w:r w:rsidR="006E120B">
        <w:rPr>
          <w:rFonts w:hint="eastAsia"/>
          <w:b/>
        </w:rPr>
        <w:t xml:space="preserve">supported by current spec </w:t>
      </w:r>
      <w:r>
        <w:rPr>
          <w:rFonts w:hint="eastAsia"/>
          <w:b/>
        </w:rPr>
        <w:t xml:space="preserve">is CA bandwidth class C, which </w:t>
      </w:r>
      <w:r>
        <w:rPr>
          <w:b/>
        </w:rPr>
        <w:t xml:space="preserve">is 1200 </w:t>
      </w:r>
      <w:r>
        <w:rPr>
          <w:rFonts w:hint="eastAsia"/>
          <w:b/>
        </w:rPr>
        <w:t>MHz BW.</w:t>
      </w:r>
    </w:p>
    <w:p w:rsidR="006E120B" w:rsidRDefault="00C43718" w:rsidP="002244BC">
      <w:r>
        <w:rPr>
          <w:rFonts w:hint="eastAsia"/>
        </w:rPr>
        <w:t xml:space="preserve">There was an objective for FR2 to study the </w:t>
      </w:r>
      <w:r w:rsidRPr="003C14A6">
        <w:rPr>
          <w:lang w:eastAsia="ja-JP"/>
        </w:rPr>
        <w:t>intra-band contiguous DL CA for aggregated channel bandwidth wider than 1200 MHz</w:t>
      </w:r>
      <w:r>
        <w:rPr>
          <w:rFonts w:hint="eastAsia"/>
        </w:rPr>
        <w:t>, but it was removed from the WID because there</w:t>
      </w:r>
      <w:r>
        <w:t>’</w:t>
      </w:r>
      <w:r>
        <w:rPr>
          <w:rFonts w:hint="eastAsia"/>
        </w:rPr>
        <w:t xml:space="preserve">s no discussion. Our understanding is that one of </w:t>
      </w:r>
      <w:r>
        <w:t>the</w:t>
      </w:r>
      <w:r>
        <w:rPr>
          <w:rFonts w:hint="eastAsia"/>
        </w:rPr>
        <w:t xml:space="preserve"> </w:t>
      </w:r>
      <w:proofErr w:type="gramStart"/>
      <w:r>
        <w:rPr>
          <w:rFonts w:hint="eastAsia"/>
        </w:rPr>
        <w:t>reason</w:t>
      </w:r>
      <w:proofErr w:type="gramEnd"/>
      <w:r>
        <w:rPr>
          <w:rFonts w:hint="eastAsia"/>
        </w:rPr>
        <w:t xml:space="preserve"> </w:t>
      </w:r>
      <w:r>
        <w:t>is that there’</w:t>
      </w:r>
      <w:r>
        <w:rPr>
          <w:rFonts w:hint="eastAsia"/>
        </w:rPr>
        <w:t>re difficulties for the implementation. T</w:t>
      </w:r>
      <w:r w:rsidR="006E120B" w:rsidRPr="006E120B">
        <w:rPr>
          <w:rFonts w:hint="eastAsia"/>
        </w:rPr>
        <w:t>hat</w:t>
      </w:r>
      <w:r>
        <w:rPr>
          <w:rFonts w:hint="eastAsia"/>
        </w:rPr>
        <w:t xml:space="preserve"> discussion</w:t>
      </w:r>
      <w:r w:rsidR="006E120B" w:rsidRPr="006E120B">
        <w:rPr>
          <w:rFonts w:hint="eastAsia"/>
        </w:rPr>
        <w:t xml:space="preserve"> can be a reference to consider the CBW above 52.6 GHz</w:t>
      </w:r>
      <w:r>
        <w:rPr>
          <w:rFonts w:hint="eastAsia"/>
        </w:rPr>
        <w:t xml:space="preserve"> and the CBW should be at least not larger than 1200MHz.</w:t>
      </w:r>
    </w:p>
    <w:p w:rsidR="003A26C8" w:rsidRDefault="006E120B" w:rsidP="002244BC">
      <w:r>
        <w:rPr>
          <w:rFonts w:hint="eastAsia"/>
        </w:rPr>
        <w:t xml:space="preserve">To decide the CBW, </w:t>
      </w:r>
      <w:r>
        <w:t>numerology</w:t>
      </w:r>
      <w:r>
        <w:rPr>
          <w:rFonts w:hint="eastAsia"/>
        </w:rPr>
        <w:t xml:space="preserve"> (SCS) and FFT point</w:t>
      </w:r>
      <w:r w:rsidR="00C43718">
        <w:rPr>
          <w:rFonts w:hint="eastAsia"/>
        </w:rPr>
        <w:t>s</w:t>
      </w:r>
      <w:r>
        <w:rPr>
          <w:rFonts w:hint="eastAsia"/>
        </w:rPr>
        <w:t xml:space="preserve"> should also be considered. 4096 points FFT was assumed for R15 NR considering the baseband processing capability. Our understanding is that the same FFT processing capability can be assumed for above 52.6GHz. For SCS, current spec supports 240 KHz SCS for SSB but only supports up to 120 KHz for data and control channel. </w:t>
      </w:r>
    </w:p>
    <w:p w:rsidR="003A26C8" w:rsidRDefault="003A26C8" w:rsidP="002244BC">
      <w:r>
        <w:rPr>
          <w:rFonts w:hint="eastAsia"/>
        </w:rPr>
        <w:t xml:space="preserve">In RAN1 </w:t>
      </w:r>
      <w:r>
        <w:t>discussion</w:t>
      </w:r>
      <w:r w:rsidR="00C43718">
        <w:rPr>
          <w:rFonts w:hint="eastAsia"/>
        </w:rPr>
        <w:t xml:space="preserve"> for above 52.6 GHz</w:t>
      </w:r>
      <w:r>
        <w:rPr>
          <w:rFonts w:hint="eastAsia"/>
        </w:rPr>
        <w:t xml:space="preserve">, larger SCS than current FR2 SCS is proposed. The </w:t>
      </w:r>
      <w:r>
        <w:t>proposed</w:t>
      </w:r>
      <w:r>
        <w:rPr>
          <w:rFonts w:hint="eastAsia"/>
        </w:rPr>
        <w:t xml:space="preserve"> larger SCS</w:t>
      </w:r>
      <w:r w:rsidR="00C43718">
        <w:rPr>
          <w:rFonts w:hint="eastAsia"/>
        </w:rPr>
        <w:t>s are</w:t>
      </w:r>
      <w:r>
        <w:rPr>
          <w:rFonts w:hint="eastAsia"/>
        </w:rPr>
        <w:t xml:space="preserve"> </w:t>
      </w:r>
      <w:proofErr w:type="gramStart"/>
      <w:r>
        <w:rPr>
          <w:rFonts w:hint="eastAsia"/>
        </w:rPr>
        <w:t>240KHz</w:t>
      </w:r>
      <w:proofErr w:type="gramEnd"/>
      <w:r>
        <w:rPr>
          <w:rFonts w:hint="eastAsia"/>
        </w:rPr>
        <w:t xml:space="preserve">, 480KHz and 960KHz. RAN1 considers more on the benefits to the system performance but RAN4 needs to study more on the feasibility. The following table shows the values of </w:t>
      </w:r>
      <w:r w:rsidR="00C43718">
        <w:rPr>
          <w:rFonts w:hint="eastAsia"/>
        </w:rPr>
        <w:t>baseband sampling rate (</w:t>
      </w:r>
      <w:proofErr w:type="spellStart"/>
      <w:r>
        <w:rPr>
          <w:rFonts w:hint="eastAsia"/>
        </w:rPr>
        <w:t>Fs</w:t>
      </w:r>
      <w:proofErr w:type="spellEnd"/>
      <w:r w:rsidR="00C43718">
        <w:rPr>
          <w:rFonts w:hint="eastAsia"/>
        </w:rPr>
        <w:t>)</w:t>
      </w:r>
      <w:r>
        <w:rPr>
          <w:rFonts w:hint="eastAsia"/>
        </w:rPr>
        <w:t xml:space="preserve">, symbol length and CBW when 4096 pints FFT and 264 maximum RB number are assumed. </w:t>
      </w:r>
    </w:p>
    <w:p w:rsidR="003A26C8" w:rsidRPr="003A26C8" w:rsidRDefault="003A26C8" w:rsidP="003A26C8">
      <w:pPr>
        <w:jc w:val="center"/>
        <w:rPr>
          <w:b/>
        </w:rPr>
      </w:pPr>
      <w:r w:rsidRPr="003A26C8">
        <w:rPr>
          <w:rFonts w:hint="eastAsia"/>
          <w:b/>
        </w:rPr>
        <w:t xml:space="preserve">Table 1: </w:t>
      </w:r>
      <w:proofErr w:type="spellStart"/>
      <w:r w:rsidRPr="003A26C8">
        <w:rPr>
          <w:rFonts w:hint="eastAsia"/>
          <w:b/>
        </w:rPr>
        <w:t>Fs</w:t>
      </w:r>
      <w:proofErr w:type="spellEnd"/>
      <w:r w:rsidRPr="003A26C8">
        <w:rPr>
          <w:rFonts w:hint="eastAsia"/>
          <w:b/>
        </w:rPr>
        <w:t>, symbol length and CBW for different SCS</w:t>
      </w:r>
    </w:p>
    <w:tbl>
      <w:tblPr>
        <w:tblW w:w="7581" w:type="dxa"/>
        <w:tblInd w:w="392" w:type="dxa"/>
        <w:tblLook w:val="04A0" w:firstRow="1" w:lastRow="0" w:firstColumn="1" w:lastColumn="0" w:noHBand="0" w:noVBand="1"/>
      </w:tblPr>
      <w:tblGrid>
        <w:gridCol w:w="2268"/>
        <w:gridCol w:w="993"/>
        <w:gridCol w:w="1080"/>
        <w:gridCol w:w="1080"/>
        <w:gridCol w:w="1080"/>
        <w:gridCol w:w="1080"/>
      </w:tblGrid>
      <w:tr w:rsidR="003A26C8" w:rsidRPr="003A26C8" w:rsidTr="003A26C8">
        <w:trPr>
          <w:trHeight w:val="270"/>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left"/>
              <w:textAlignment w:val="auto"/>
              <w:rPr>
                <w:rFonts w:ascii="宋体" w:hAnsi="宋体" w:cs="宋体"/>
                <w:b/>
                <w:color w:val="000000"/>
                <w:sz w:val="22"/>
                <w:lang w:val="en-US"/>
              </w:rPr>
            </w:pPr>
            <w:r w:rsidRPr="003A26C8">
              <w:rPr>
                <w:rFonts w:ascii="宋体" w:hAnsi="宋体" w:cs="宋体" w:hint="eastAsia"/>
                <w:b/>
                <w:color w:val="000000"/>
                <w:sz w:val="22"/>
                <w:lang w:val="en-US"/>
              </w:rPr>
              <w:t>SCS (kHz)</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60</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120</w:t>
            </w:r>
          </w:p>
        </w:tc>
        <w:tc>
          <w:tcPr>
            <w:tcW w:w="1080" w:type="dxa"/>
            <w:tcBorders>
              <w:top w:val="single" w:sz="4" w:space="0" w:color="auto"/>
              <w:left w:val="nil"/>
              <w:bottom w:val="single" w:sz="4" w:space="0" w:color="auto"/>
              <w:right w:val="single" w:sz="4" w:space="0" w:color="auto"/>
            </w:tcBorders>
            <w:shd w:val="clear" w:color="000000" w:fill="FFFFFF"/>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240</w:t>
            </w:r>
          </w:p>
        </w:tc>
        <w:tc>
          <w:tcPr>
            <w:tcW w:w="1080" w:type="dxa"/>
            <w:tcBorders>
              <w:top w:val="single" w:sz="4" w:space="0" w:color="auto"/>
              <w:left w:val="nil"/>
              <w:bottom w:val="single" w:sz="4" w:space="0" w:color="auto"/>
              <w:right w:val="single" w:sz="4" w:space="0" w:color="auto"/>
            </w:tcBorders>
            <w:shd w:val="clear" w:color="000000" w:fill="FFFFFF"/>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480</w:t>
            </w:r>
          </w:p>
        </w:tc>
        <w:tc>
          <w:tcPr>
            <w:tcW w:w="1080" w:type="dxa"/>
            <w:tcBorders>
              <w:top w:val="single" w:sz="4" w:space="0" w:color="auto"/>
              <w:left w:val="nil"/>
              <w:bottom w:val="single" w:sz="4" w:space="0" w:color="auto"/>
              <w:right w:val="single" w:sz="4" w:space="0" w:color="auto"/>
            </w:tcBorders>
            <w:shd w:val="clear" w:color="000000" w:fill="FFFFFF"/>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960</w:t>
            </w:r>
          </w:p>
        </w:tc>
      </w:tr>
      <w:tr w:rsidR="003A26C8" w:rsidRPr="003A26C8" w:rsidTr="003A26C8">
        <w:trPr>
          <w:trHeight w:val="27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left"/>
              <w:textAlignment w:val="auto"/>
              <w:rPr>
                <w:rFonts w:ascii="宋体" w:hAnsi="宋体" w:cs="宋体"/>
                <w:b/>
                <w:color w:val="000000"/>
                <w:sz w:val="22"/>
                <w:lang w:val="en-US"/>
              </w:rPr>
            </w:pPr>
            <w:r w:rsidRPr="003A26C8">
              <w:rPr>
                <w:rFonts w:ascii="宋体" w:hAnsi="宋体" w:cs="宋体" w:hint="eastAsia"/>
                <w:b/>
                <w:color w:val="000000"/>
                <w:sz w:val="22"/>
                <w:lang w:val="en-US"/>
              </w:rPr>
              <w:t xml:space="preserve">FFT points </w:t>
            </w:r>
          </w:p>
        </w:tc>
        <w:tc>
          <w:tcPr>
            <w:tcW w:w="993"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4096</w:t>
            </w:r>
          </w:p>
        </w:tc>
        <w:tc>
          <w:tcPr>
            <w:tcW w:w="1080"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4096</w:t>
            </w:r>
          </w:p>
        </w:tc>
        <w:tc>
          <w:tcPr>
            <w:tcW w:w="1080"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4096</w:t>
            </w:r>
          </w:p>
        </w:tc>
        <w:tc>
          <w:tcPr>
            <w:tcW w:w="1080"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4096</w:t>
            </w:r>
          </w:p>
        </w:tc>
        <w:tc>
          <w:tcPr>
            <w:tcW w:w="1080"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4096</w:t>
            </w:r>
          </w:p>
        </w:tc>
      </w:tr>
      <w:tr w:rsidR="003A26C8" w:rsidRPr="003A26C8" w:rsidTr="003A26C8">
        <w:trPr>
          <w:trHeight w:val="27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left"/>
              <w:textAlignment w:val="auto"/>
              <w:rPr>
                <w:rFonts w:ascii="宋体" w:hAnsi="宋体" w:cs="宋体"/>
                <w:b/>
                <w:color w:val="000000"/>
                <w:sz w:val="22"/>
                <w:lang w:val="en-US"/>
              </w:rPr>
            </w:pPr>
            <w:r w:rsidRPr="003A26C8">
              <w:rPr>
                <w:rFonts w:ascii="宋体" w:hAnsi="宋体" w:cs="宋体" w:hint="eastAsia"/>
                <w:b/>
                <w:color w:val="000000"/>
                <w:sz w:val="22"/>
                <w:lang w:val="en-US"/>
              </w:rPr>
              <w:t>CP points</w:t>
            </w:r>
          </w:p>
        </w:tc>
        <w:tc>
          <w:tcPr>
            <w:tcW w:w="993"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288</w:t>
            </w:r>
          </w:p>
        </w:tc>
        <w:tc>
          <w:tcPr>
            <w:tcW w:w="1080"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288</w:t>
            </w:r>
          </w:p>
        </w:tc>
        <w:tc>
          <w:tcPr>
            <w:tcW w:w="1080"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288</w:t>
            </w:r>
          </w:p>
        </w:tc>
        <w:tc>
          <w:tcPr>
            <w:tcW w:w="1080"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288</w:t>
            </w:r>
          </w:p>
        </w:tc>
        <w:tc>
          <w:tcPr>
            <w:tcW w:w="1080"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288</w:t>
            </w:r>
          </w:p>
        </w:tc>
      </w:tr>
      <w:tr w:rsidR="003A26C8" w:rsidRPr="003A26C8" w:rsidTr="003A26C8">
        <w:trPr>
          <w:trHeight w:val="27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left"/>
              <w:textAlignment w:val="auto"/>
              <w:rPr>
                <w:rFonts w:ascii="宋体" w:hAnsi="宋体" w:cs="宋体"/>
                <w:b/>
                <w:color w:val="000000"/>
                <w:sz w:val="22"/>
                <w:lang w:val="en-US"/>
              </w:rPr>
            </w:pPr>
            <w:proofErr w:type="spellStart"/>
            <w:r w:rsidRPr="003A26C8">
              <w:rPr>
                <w:rFonts w:ascii="宋体" w:hAnsi="宋体" w:cs="宋体" w:hint="eastAsia"/>
                <w:b/>
                <w:color w:val="000000"/>
                <w:sz w:val="22"/>
                <w:lang w:val="en-US"/>
              </w:rPr>
              <w:t>Fs</w:t>
            </w:r>
            <w:proofErr w:type="spellEnd"/>
            <w:r w:rsidRPr="003A26C8">
              <w:rPr>
                <w:rFonts w:ascii="宋体" w:hAnsi="宋体" w:cs="宋体" w:hint="eastAsia"/>
                <w:b/>
                <w:color w:val="000000"/>
                <w:sz w:val="22"/>
                <w:lang w:val="en-US"/>
              </w:rPr>
              <w:t xml:space="preserve"> (MHz)</w:t>
            </w:r>
          </w:p>
        </w:tc>
        <w:tc>
          <w:tcPr>
            <w:tcW w:w="993"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245.76</w:t>
            </w:r>
          </w:p>
        </w:tc>
        <w:tc>
          <w:tcPr>
            <w:tcW w:w="1080"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491.52</w:t>
            </w:r>
          </w:p>
        </w:tc>
        <w:tc>
          <w:tcPr>
            <w:tcW w:w="1080" w:type="dxa"/>
            <w:tcBorders>
              <w:top w:val="nil"/>
              <w:left w:val="nil"/>
              <w:bottom w:val="single" w:sz="4" w:space="0" w:color="auto"/>
              <w:right w:val="single" w:sz="4" w:space="0" w:color="auto"/>
            </w:tcBorders>
            <w:shd w:val="clear" w:color="000000" w:fill="FFFFFF"/>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983.04</w:t>
            </w:r>
          </w:p>
        </w:tc>
        <w:tc>
          <w:tcPr>
            <w:tcW w:w="1080" w:type="dxa"/>
            <w:tcBorders>
              <w:top w:val="nil"/>
              <w:left w:val="nil"/>
              <w:bottom w:val="single" w:sz="4" w:space="0" w:color="auto"/>
              <w:right w:val="single" w:sz="4" w:space="0" w:color="auto"/>
            </w:tcBorders>
            <w:shd w:val="clear" w:color="000000" w:fill="FFFFFF"/>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1966.08</w:t>
            </w:r>
          </w:p>
        </w:tc>
        <w:tc>
          <w:tcPr>
            <w:tcW w:w="1080" w:type="dxa"/>
            <w:tcBorders>
              <w:top w:val="nil"/>
              <w:left w:val="nil"/>
              <w:bottom w:val="single" w:sz="4" w:space="0" w:color="auto"/>
              <w:right w:val="single" w:sz="4" w:space="0" w:color="auto"/>
            </w:tcBorders>
            <w:shd w:val="clear" w:color="000000" w:fill="FFFFFF"/>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3932.16</w:t>
            </w:r>
          </w:p>
        </w:tc>
      </w:tr>
      <w:tr w:rsidR="003A26C8" w:rsidRPr="003A26C8" w:rsidTr="003A26C8">
        <w:trPr>
          <w:trHeight w:val="27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left"/>
              <w:textAlignment w:val="auto"/>
              <w:rPr>
                <w:rFonts w:ascii="宋体" w:hAnsi="宋体" w:cs="宋体"/>
                <w:b/>
                <w:color w:val="000000"/>
                <w:sz w:val="22"/>
                <w:lang w:val="en-US"/>
              </w:rPr>
            </w:pPr>
            <w:r w:rsidRPr="003A26C8">
              <w:rPr>
                <w:rFonts w:ascii="宋体" w:hAnsi="宋体" w:cs="宋体" w:hint="eastAsia"/>
                <w:b/>
                <w:color w:val="000000"/>
                <w:sz w:val="22"/>
                <w:lang w:val="en-US"/>
              </w:rPr>
              <w:t>Symbol length (us)</w:t>
            </w:r>
          </w:p>
        </w:tc>
        <w:tc>
          <w:tcPr>
            <w:tcW w:w="993"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 xml:space="preserve">16.67 </w:t>
            </w:r>
          </w:p>
        </w:tc>
        <w:tc>
          <w:tcPr>
            <w:tcW w:w="1080"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 xml:space="preserve">8.33 </w:t>
            </w:r>
          </w:p>
        </w:tc>
        <w:tc>
          <w:tcPr>
            <w:tcW w:w="1080" w:type="dxa"/>
            <w:tcBorders>
              <w:top w:val="nil"/>
              <w:left w:val="nil"/>
              <w:bottom w:val="single" w:sz="4" w:space="0" w:color="auto"/>
              <w:right w:val="single" w:sz="4" w:space="0" w:color="auto"/>
            </w:tcBorders>
            <w:shd w:val="clear" w:color="000000" w:fill="FFFFFF"/>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 xml:space="preserve">4.17 </w:t>
            </w:r>
          </w:p>
        </w:tc>
        <w:tc>
          <w:tcPr>
            <w:tcW w:w="1080" w:type="dxa"/>
            <w:tcBorders>
              <w:top w:val="nil"/>
              <w:left w:val="nil"/>
              <w:bottom w:val="single" w:sz="4" w:space="0" w:color="auto"/>
              <w:right w:val="single" w:sz="4" w:space="0" w:color="auto"/>
            </w:tcBorders>
            <w:shd w:val="clear" w:color="000000" w:fill="FFFFFF"/>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 xml:space="preserve">2.08 </w:t>
            </w:r>
          </w:p>
        </w:tc>
        <w:tc>
          <w:tcPr>
            <w:tcW w:w="1080" w:type="dxa"/>
            <w:tcBorders>
              <w:top w:val="nil"/>
              <w:left w:val="nil"/>
              <w:bottom w:val="single" w:sz="4" w:space="0" w:color="auto"/>
              <w:right w:val="single" w:sz="4" w:space="0" w:color="auto"/>
            </w:tcBorders>
            <w:shd w:val="clear" w:color="000000" w:fill="FFFFFF"/>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 xml:space="preserve">1.04 </w:t>
            </w:r>
          </w:p>
        </w:tc>
      </w:tr>
      <w:tr w:rsidR="003A26C8" w:rsidRPr="003A26C8" w:rsidTr="003A26C8">
        <w:trPr>
          <w:trHeight w:val="27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left"/>
              <w:textAlignment w:val="auto"/>
              <w:rPr>
                <w:rFonts w:ascii="宋体" w:hAnsi="宋体" w:cs="宋体"/>
                <w:b/>
                <w:color w:val="000000"/>
                <w:sz w:val="22"/>
                <w:lang w:val="en-US"/>
              </w:rPr>
            </w:pPr>
            <w:r w:rsidRPr="003A26C8">
              <w:rPr>
                <w:rFonts w:ascii="宋体" w:hAnsi="宋体" w:cs="宋体" w:hint="eastAsia"/>
                <w:b/>
                <w:color w:val="000000"/>
                <w:sz w:val="22"/>
                <w:lang w:val="en-US"/>
              </w:rPr>
              <w:t>CP length (us)</w:t>
            </w:r>
          </w:p>
        </w:tc>
        <w:tc>
          <w:tcPr>
            <w:tcW w:w="993"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 xml:space="preserve">1.17 </w:t>
            </w:r>
          </w:p>
        </w:tc>
        <w:tc>
          <w:tcPr>
            <w:tcW w:w="1080"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 xml:space="preserve">0.59 </w:t>
            </w:r>
          </w:p>
        </w:tc>
        <w:tc>
          <w:tcPr>
            <w:tcW w:w="1080" w:type="dxa"/>
            <w:tcBorders>
              <w:top w:val="nil"/>
              <w:left w:val="nil"/>
              <w:bottom w:val="single" w:sz="4" w:space="0" w:color="auto"/>
              <w:right w:val="single" w:sz="4" w:space="0" w:color="auto"/>
            </w:tcBorders>
            <w:shd w:val="clear" w:color="000000" w:fill="FFFFFF"/>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 xml:space="preserve">0.29 </w:t>
            </w:r>
          </w:p>
        </w:tc>
        <w:tc>
          <w:tcPr>
            <w:tcW w:w="1080" w:type="dxa"/>
            <w:tcBorders>
              <w:top w:val="nil"/>
              <w:left w:val="nil"/>
              <w:bottom w:val="single" w:sz="4" w:space="0" w:color="auto"/>
              <w:right w:val="single" w:sz="4" w:space="0" w:color="auto"/>
            </w:tcBorders>
            <w:shd w:val="clear" w:color="000000" w:fill="FFFFFF"/>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 xml:space="preserve">0.15 </w:t>
            </w:r>
          </w:p>
        </w:tc>
        <w:tc>
          <w:tcPr>
            <w:tcW w:w="1080" w:type="dxa"/>
            <w:tcBorders>
              <w:top w:val="nil"/>
              <w:left w:val="nil"/>
              <w:bottom w:val="single" w:sz="4" w:space="0" w:color="auto"/>
              <w:right w:val="single" w:sz="4" w:space="0" w:color="auto"/>
            </w:tcBorders>
            <w:shd w:val="clear" w:color="000000" w:fill="FFFFFF"/>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 xml:space="preserve">0.07 </w:t>
            </w:r>
          </w:p>
        </w:tc>
      </w:tr>
      <w:tr w:rsidR="003A26C8" w:rsidRPr="003A26C8" w:rsidTr="003A26C8">
        <w:trPr>
          <w:trHeight w:val="27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left"/>
              <w:textAlignment w:val="auto"/>
              <w:rPr>
                <w:rFonts w:ascii="宋体" w:hAnsi="宋体" w:cs="宋体"/>
                <w:b/>
                <w:color w:val="000000"/>
                <w:sz w:val="22"/>
                <w:lang w:val="en-US"/>
              </w:rPr>
            </w:pPr>
            <w:r w:rsidRPr="003A26C8">
              <w:rPr>
                <w:rFonts w:ascii="宋体" w:hAnsi="宋体" w:cs="宋体" w:hint="eastAsia"/>
                <w:b/>
                <w:color w:val="000000"/>
                <w:sz w:val="22"/>
                <w:lang w:val="en-US"/>
              </w:rPr>
              <w:t>RB number</w:t>
            </w:r>
          </w:p>
        </w:tc>
        <w:tc>
          <w:tcPr>
            <w:tcW w:w="993"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264</w:t>
            </w:r>
          </w:p>
        </w:tc>
        <w:tc>
          <w:tcPr>
            <w:tcW w:w="1080"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264</w:t>
            </w:r>
          </w:p>
        </w:tc>
        <w:tc>
          <w:tcPr>
            <w:tcW w:w="1080"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264</w:t>
            </w:r>
          </w:p>
        </w:tc>
        <w:tc>
          <w:tcPr>
            <w:tcW w:w="1080"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264</w:t>
            </w:r>
          </w:p>
        </w:tc>
        <w:tc>
          <w:tcPr>
            <w:tcW w:w="1080" w:type="dxa"/>
            <w:tcBorders>
              <w:top w:val="nil"/>
              <w:left w:val="nil"/>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264</w:t>
            </w:r>
          </w:p>
        </w:tc>
      </w:tr>
      <w:tr w:rsidR="003A26C8" w:rsidRPr="003A26C8" w:rsidTr="003A26C8">
        <w:trPr>
          <w:trHeight w:val="27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left"/>
              <w:textAlignment w:val="auto"/>
              <w:rPr>
                <w:rFonts w:ascii="宋体" w:hAnsi="宋体" w:cs="宋体"/>
                <w:b/>
                <w:color w:val="000000"/>
                <w:sz w:val="22"/>
                <w:lang w:val="en-US"/>
              </w:rPr>
            </w:pPr>
            <w:r w:rsidRPr="003A26C8">
              <w:rPr>
                <w:rFonts w:ascii="宋体" w:hAnsi="宋体" w:cs="宋体" w:hint="eastAsia"/>
                <w:b/>
                <w:color w:val="000000"/>
                <w:sz w:val="22"/>
                <w:lang w:val="en-US"/>
              </w:rPr>
              <w:t>TBW (MHz)</w:t>
            </w:r>
          </w:p>
        </w:tc>
        <w:tc>
          <w:tcPr>
            <w:tcW w:w="993" w:type="dxa"/>
            <w:tcBorders>
              <w:top w:val="nil"/>
              <w:left w:val="nil"/>
              <w:bottom w:val="single" w:sz="4" w:space="0" w:color="auto"/>
              <w:right w:val="single" w:sz="4" w:space="0" w:color="auto"/>
            </w:tcBorders>
            <w:shd w:val="clear" w:color="auto" w:fill="auto"/>
            <w:noWrap/>
            <w:vAlign w:val="center"/>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190.08</w:t>
            </w:r>
          </w:p>
        </w:tc>
        <w:tc>
          <w:tcPr>
            <w:tcW w:w="1080" w:type="dxa"/>
            <w:tcBorders>
              <w:top w:val="nil"/>
              <w:left w:val="nil"/>
              <w:bottom w:val="single" w:sz="4" w:space="0" w:color="auto"/>
              <w:right w:val="single" w:sz="4" w:space="0" w:color="auto"/>
            </w:tcBorders>
            <w:shd w:val="clear" w:color="auto" w:fill="auto"/>
            <w:noWrap/>
            <w:vAlign w:val="center"/>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380.16</w:t>
            </w:r>
          </w:p>
        </w:tc>
        <w:tc>
          <w:tcPr>
            <w:tcW w:w="1080" w:type="dxa"/>
            <w:tcBorders>
              <w:top w:val="nil"/>
              <w:left w:val="nil"/>
              <w:bottom w:val="single" w:sz="4" w:space="0" w:color="auto"/>
              <w:right w:val="single" w:sz="4" w:space="0" w:color="auto"/>
            </w:tcBorders>
            <w:shd w:val="clear" w:color="auto" w:fill="auto"/>
            <w:noWrap/>
            <w:vAlign w:val="center"/>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760.32</w:t>
            </w:r>
          </w:p>
        </w:tc>
        <w:tc>
          <w:tcPr>
            <w:tcW w:w="1080" w:type="dxa"/>
            <w:tcBorders>
              <w:top w:val="nil"/>
              <w:left w:val="nil"/>
              <w:bottom w:val="single" w:sz="4" w:space="0" w:color="auto"/>
              <w:right w:val="single" w:sz="4" w:space="0" w:color="auto"/>
            </w:tcBorders>
            <w:shd w:val="clear" w:color="auto" w:fill="auto"/>
            <w:noWrap/>
            <w:vAlign w:val="center"/>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1520.64</w:t>
            </w:r>
          </w:p>
        </w:tc>
        <w:tc>
          <w:tcPr>
            <w:tcW w:w="1080" w:type="dxa"/>
            <w:tcBorders>
              <w:top w:val="nil"/>
              <w:left w:val="nil"/>
              <w:bottom w:val="single" w:sz="4" w:space="0" w:color="auto"/>
              <w:right w:val="single" w:sz="4" w:space="0" w:color="auto"/>
            </w:tcBorders>
            <w:shd w:val="clear" w:color="auto" w:fill="auto"/>
            <w:noWrap/>
            <w:vAlign w:val="center"/>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3041.28</w:t>
            </w:r>
          </w:p>
        </w:tc>
      </w:tr>
      <w:tr w:rsidR="003A26C8" w:rsidRPr="003A26C8" w:rsidTr="003A26C8">
        <w:trPr>
          <w:trHeight w:val="27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A26C8" w:rsidRPr="003A26C8" w:rsidRDefault="003A26C8" w:rsidP="003A26C8">
            <w:pPr>
              <w:overflowPunct/>
              <w:autoSpaceDE/>
              <w:autoSpaceDN/>
              <w:adjustRightInd/>
              <w:spacing w:before="0" w:after="0"/>
              <w:jc w:val="left"/>
              <w:textAlignment w:val="auto"/>
              <w:rPr>
                <w:rFonts w:ascii="宋体" w:hAnsi="宋体" w:cs="宋体"/>
                <w:b/>
                <w:color w:val="000000"/>
                <w:sz w:val="22"/>
                <w:lang w:val="en-US"/>
              </w:rPr>
            </w:pPr>
            <w:r w:rsidRPr="003A26C8">
              <w:rPr>
                <w:rFonts w:ascii="宋体" w:hAnsi="宋体" w:cs="宋体" w:hint="eastAsia"/>
                <w:b/>
                <w:color w:val="000000"/>
                <w:sz w:val="22"/>
                <w:lang w:val="en-US"/>
              </w:rPr>
              <w:t>CBW (MHz)</w:t>
            </w:r>
          </w:p>
        </w:tc>
        <w:tc>
          <w:tcPr>
            <w:tcW w:w="993" w:type="dxa"/>
            <w:tcBorders>
              <w:top w:val="nil"/>
              <w:left w:val="nil"/>
              <w:bottom w:val="single" w:sz="4" w:space="0" w:color="auto"/>
              <w:right w:val="single" w:sz="4" w:space="0" w:color="auto"/>
            </w:tcBorders>
            <w:shd w:val="clear" w:color="auto" w:fill="auto"/>
            <w:noWrap/>
            <w:vAlign w:val="center"/>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200</w:t>
            </w:r>
          </w:p>
        </w:tc>
        <w:tc>
          <w:tcPr>
            <w:tcW w:w="1080" w:type="dxa"/>
            <w:tcBorders>
              <w:top w:val="nil"/>
              <w:left w:val="nil"/>
              <w:bottom w:val="single" w:sz="4" w:space="0" w:color="auto"/>
              <w:right w:val="single" w:sz="4" w:space="0" w:color="auto"/>
            </w:tcBorders>
            <w:shd w:val="clear" w:color="auto" w:fill="auto"/>
            <w:noWrap/>
            <w:vAlign w:val="center"/>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400</w:t>
            </w:r>
          </w:p>
        </w:tc>
        <w:tc>
          <w:tcPr>
            <w:tcW w:w="1080" w:type="dxa"/>
            <w:tcBorders>
              <w:top w:val="nil"/>
              <w:left w:val="nil"/>
              <w:bottom w:val="single" w:sz="4" w:space="0" w:color="auto"/>
              <w:right w:val="single" w:sz="4" w:space="0" w:color="auto"/>
            </w:tcBorders>
            <w:shd w:val="clear" w:color="auto" w:fill="auto"/>
            <w:noWrap/>
            <w:vAlign w:val="center"/>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800</w:t>
            </w:r>
          </w:p>
        </w:tc>
        <w:tc>
          <w:tcPr>
            <w:tcW w:w="1080" w:type="dxa"/>
            <w:tcBorders>
              <w:top w:val="nil"/>
              <w:left w:val="nil"/>
              <w:bottom w:val="single" w:sz="4" w:space="0" w:color="auto"/>
              <w:right w:val="single" w:sz="4" w:space="0" w:color="auto"/>
            </w:tcBorders>
            <w:shd w:val="clear" w:color="auto" w:fill="auto"/>
            <w:noWrap/>
            <w:vAlign w:val="center"/>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1600</w:t>
            </w:r>
          </w:p>
        </w:tc>
        <w:tc>
          <w:tcPr>
            <w:tcW w:w="1080" w:type="dxa"/>
            <w:tcBorders>
              <w:top w:val="nil"/>
              <w:left w:val="nil"/>
              <w:bottom w:val="single" w:sz="4" w:space="0" w:color="auto"/>
              <w:right w:val="single" w:sz="4" w:space="0" w:color="auto"/>
            </w:tcBorders>
            <w:shd w:val="clear" w:color="auto" w:fill="auto"/>
            <w:noWrap/>
            <w:vAlign w:val="center"/>
            <w:hideMark/>
          </w:tcPr>
          <w:p w:rsidR="003A26C8" w:rsidRPr="003A26C8" w:rsidRDefault="003A26C8" w:rsidP="003A26C8">
            <w:pPr>
              <w:overflowPunct/>
              <w:autoSpaceDE/>
              <w:autoSpaceDN/>
              <w:adjustRightInd/>
              <w:spacing w:before="0" w:after="0"/>
              <w:jc w:val="right"/>
              <w:textAlignment w:val="auto"/>
              <w:rPr>
                <w:rFonts w:ascii="宋体" w:hAnsi="宋体" w:cs="宋体"/>
                <w:color w:val="000000"/>
                <w:sz w:val="22"/>
                <w:lang w:val="en-US"/>
              </w:rPr>
            </w:pPr>
            <w:r w:rsidRPr="003A26C8">
              <w:rPr>
                <w:rFonts w:ascii="宋体" w:hAnsi="宋体" w:cs="宋体" w:hint="eastAsia"/>
                <w:color w:val="000000"/>
                <w:sz w:val="22"/>
                <w:lang w:val="en-US"/>
              </w:rPr>
              <w:t>3200</w:t>
            </w:r>
          </w:p>
        </w:tc>
      </w:tr>
    </w:tbl>
    <w:p w:rsidR="003A26C8" w:rsidRDefault="003A26C8" w:rsidP="002244BC">
      <w:r>
        <w:rPr>
          <w:rFonts w:hint="eastAsia"/>
        </w:rPr>
        <w:t xml:space="preserve">From above table, it can be seen </w:t>
      </w:r>
      <w:r w:rsidR="00C43718">
        <w:rPr>
          <w:rFonts w:hint="eastAsia"/>
        </w:rPr>
        <w:t xml:space="preserve">that </w:t>
      </w:r>
      <w:r>
        <w:rPr>
          <w:rFonts w:hint="eastAsia"/>
        </w:rPr>
        <w:t xml:space="preserve">if 4096 pints FFT is assumed the sampling rate for </w:t>
      </w:r>
      <w:proofErr w:type="gramStart"/>
      <w:r>
        <w:rPr>
          <w:rFonts w:hint="eastAsia"/>
        </w:rPr>
        <w:t>240KHz</w:t>
      </w:r>
      <w:proofErr w:type="gramEnd"/>
      <w:r>
        <w:rPr>
          <w:rFonts w:hint="eastAsia"/>
        </w:rPr>
        <w:t xml:space="preserve"> is 983.04MHz which is smaller than current largest CA BW</w:t>
      </w:r>
      <w:r w:rsidR="00C43718">
        <w:rPr>
          <w:rFonts w:hint="eastAsia"/>
        </w:rPr>
        <w:t>, i.e. 1200MHz</w:t>
      </w:r>
      <w:r>
        <w:rPr>
          <w:rFonts w:hint="eastAsia"/>
        </w:rPr>
        <w:t xml:space="preserve">. But for 480KHz and 960KHz SCS, the </w:t>
      </w:r>
      <w:proofErr w:type="spellStart"/>
      <w:r>
        <w:rPr>
          <w:rFonts w:hint="eastAsia"/>
        </w:rPr>
        <w:t>Fs</w:t>
      </w:r>
      <w:proofErr w:type="spellEnd"/>
      <w:r>
        <w:rPr>
          <w:rFonts w:hint="eastAsia"/>
        </w:rPr>
        <w:t xml:space="preserve"> </w:t>
      </w:r>
      <w:proofErr w:type="gramStart"/>
      <w:r>
        <w:rPr>
          <w:rFonts w:hint="eastAsia"/>
        </w:rPr>
        <w:t>is</w:t>
      </w:r>
      <w:proofErr w:type="gramEnd"/>
      <w:r>
        <w:rPr>
          <w:rFonts w:hint="eastAsia"/>
        </w:rPr>
        <w:t xml:space="preserve"> </w:t>
      </w:r>
      <w:r w:rsidRPr="003A26C8">
        <w:rPr>
          <w:rFonts w:hint="eastAsia"/>
        </w:rPr>
        <w:t xml:space="preserve">1966.08 MHz and 3932.16 MHz which are too large considering the current ADC capability. </w:t>
      </w:r>
      <w:r>
        <w:rPr>
          <w:rFonts w:hint="eastAsia"/>
        </w:rPr>
        <w:t xml:space="preserve">Considering the baseband process capability, </w:t>
      </w:r>
      <w:proofErr w:type="gramStart"/>
      <w:r>
        <w:rPr>
          <w:rFonts w:hint="eastAsia"/>
        </w:rPr>
        <w:t>480KHz</w:t>
      </w:r>
      <w:proofErr w:type="gramEnd"/>
      <w:r>
        <w:rPr>
          <w:rFonts w:hint="eastAsia"/>
        </w:rPr>
        <w:t xml:space="preserve"> and 960KHz SCS symbol lengths are ~2 us and ~1us respectively. Baseband processor needs to complete the processing of FFT and some other </w:t>
      </w:r>
      <w:r>
        <w:t>necessary</w:t>
      </w:r>
      <w:r>
        <w:rPr>
          <w:rFonts w:hint="eastAsia"/>
        </w:rPr>
        <w:t xml:space="preserve"> physical channel and high layer</w:t>
      </w:r>
      <w:r>
        <w:t>’</w:t>
      </w:r>
      <w:r>
        <w:rPr>
          <w:rFonts w:hint="eastAsia"/>
        </w:rPr>
        <w:t xml:space="preserve">s </w:t>
      </w:r>
      <w:r>
        <w:t>processing</w:t>
      </w:r>
      <w:r>
        <w:rPr>
          <w:rFonts w:hint="eastAsia"/>
        </w:rPr>
        <w:t xml:space="preserve">, which is very challenge. Higher SCS may have some benefit </w:t>
      </w:r>
      <w:r w:rsidR="00C43718">
        <w:rPr>
          <w:rFonts w:hint="eastAsia"/>
        </w:rPr>
        <w:t xml:space="preserve">to the data and control channel </w:t>
      </w:r>
      <w:r>
        <w:rPr>
          <w:rFonts w:hint="eastAsia"/>
        </w:rPr>
        <w:t xml:space="preserve">to resist </w:t>
      </w:r>
      <w:r>
        <w:rPr>
          <w:rFonts w:hint="eastAsia"/>
        </w:rPr>
        <w:lastRenderedPageBreak/>
        <w:t xml:space="preserve">the higher phase noise in the bands above 52.6 GHz. </w:t>
      </w:r>
      <w:r w:rsidR="00C43718">
        <w:rPr>
          <w:rFonts w:hint="eastAsia"/>
        </w:rPr>
        <w:t>Therefore, w</w:t>
      </w:r>
      <w:r>
        <w:rPr>
          <w:rFonts w:hint="eastAsia"/>
        </w:rPr>
        <w:t xml:space="preserve">e think 240KHz SCS can </w:t>
      </w:r>
      <w:r w:rsidR="00C43718">
        <w:rPr>
          <w:rFonts w:hint="eastAsia"/>
        </w:rPr>
        <w:t xml:space="preserve">be </w:t>
      </w:r>
      <w:r>
        <w:rPr>
          <w:rFonts w:hint="eastAsia"/>
        </w:rPr>
        <w:t xml:space="preserve">supported </w:t>
      </w:r>
      <w:r w:rsidR="00C43718">
        <w:rPr>
          <w:rFonts w:hint="eastAsia"/>
        </w:rPr>
        <w:t xml:space="preserve">for data and control channel </w:t>
      </w:r>
      <w:r>
        <w:rPr>
          <w:rFonts w:hint="eastAsia"/>
        </w:rPr>
        <w:t>and we have the following proposals,</w:t>
      </w:r>
    </w:p>
    <w:p w:rsidR="00355CCE" w:rsidRPr="003A26C8" w:rsidRDefault="003A26C8" w:rsidP="002244BC">
      <w:pPr>
        <w:rPr>
          <w:b/>
        </w:rPr>
      </w:pPr>
      <w:r w:rsidRPr="003A26C8">
        <w:rPr>
          <w:rFonts w:hint="eastAsia"/>
          <w:b/>
        </w:rPr>
        <w:t xml:space="preserve">Proposal 1: The maximum CBW supported by </w:t>
      </w:r>
      <w:r w:rsidR="00076CC3">
        <w:rPr>
          <w:rFonts w:hint="eastAsia"/>
          <w:b/>
        </w:rPr>
        <w:t xml:space="preserve">above </w:t>
      </w:r>
      <w:bookmarkStart w:id="2" w:name="_GoBack"/>
      <w:bookmarkEnd w:id="2"/>
      <w:r w:rsidRPr="003A26C8">
        <w:rPr>
          <w:rFonts w:hint="eastAsia"/>
          <w:b/>
        </w:rPr>
        <w:t>52.6GHz is 800MHz.</w:t>
      </w:r>
    </w:p>
    <w:p w:rsidR="00601FD3" w:rsidRPr="003A26C8" w:rsidRDefault="003A26C8" w:rsidP="003E1D8B">
      <w:pPr>
        <w:rPr>
          <w:b/>
        </w:rPr>
      </w:pPr>
      <w:r w:rsidRPr="003A26C8">
        <w:rPr>
          <w:rFonts w:hint="eastAsia"/>
          <w:b/>
        </w:rPr>
        <w:t>Proposal 2: The SCS supported by above 52.6 GHz is 60 KHz, 120 KHz and 240 KHz.</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D5661C" w:rsidRDefault="003A26C8" w:rsidP="00E345EC">
      <w:pPr>
        <w:spacing w:before="0" w:after="120"/>
        <w:jc w:val="left"/>
        <w:rPr>
          <w:sz w:val="20"/>
          <w:szCs w:val="20"/>
        </w:rPr>
      </w:pPr>
      <w:r>
        <w:rPr>
          <w:rFonts w:hint="eastAsia"/>
          <w:sz w:val="20"/>
          <w:szCs w:val="20"/>
        </w:rPr>
        <w:t>This contribution provides our views on the SCS and CBW for above 52.6GHz, the following proposals are made.</w:t>
      </w:r>
    </w:p>
    <w:p w:rsidR="003A26C8" w:rsidRPr="003A26C8" w:rsidRDefault="003A26C8" w:rsidP="003A26C8">
      <w:pPr>
        <w:rPr>
          <w:b/>
        </w:rPr>
      </w:pPr>
      <w:r w:rsidRPr="003A26C8">
        <w:rPr>
          <w:rFonts w:hint="eastAsia"/>
          <w:b/>
        </w:rPr>
        <w:t xml:space="preserve">Proposal 1: The maximum CBW supported by </w:t>
      </w:r>
      <w:r w:rsidR="00076CC3">
        <w:rPr>
          <w:rFonts w:hint="eastAsia"/>
          <w:b/>
        </w:rPr>
        <w:t xml:space="preserve">above </w:t>
      </w:r>
      <w:r w:rsidRPr="003A26C8">
        <w:rPr>
          <w:rFonts w:hint="eastAsia"/>
          <w:b/>
        </w:rPr>
        <w:t>52.6GHz is 800MHz.</w:t>
      </w:r>
    </w:p>
    <w:p w:rsidR="003A26C8" w:rsidRPr="003A26C8" w:rsidRDefault="003A26C8" w:rsidP="003A26C8">
      <w:pPr>
        <w:rPr>
          <w:sz w:val="20"/>
          <w:szCs w:val="20"/>
        </w:rPr>
      </w:pPr>
      <w:r w:rsidRPr="003A26C8">
        <w:rPr>
          <w:rFonts w:hint="eastAsia"/>
          <w:b/>
        </w:rPr>
        <w:t>Proposal 2: The SCS supported by above 52.6 GHz is 60 KHz, 120 KHz and 240 KHz.</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7E29D8" w:rsidRPr="003A26C8" w:rsidRDefault="00E96FB2" w:rsidP="00C43718">
      <w:pPr>
        <w:spacing w:before="0" w:after="120"/>
        <w:jc w:val="left"/>
        <w:rPr>
          <w:bCs/>
        </w:rPr>
      </w:pPr>
      <w:r w:rsidRPr="003A26C8">
        <w:rPr>
          <w:rFonts w:hint="eastAsia"/>
          <w:sz w:val="20"/>
          <w:szCs w:val="20"/>
        </w:rPr>
        <w:t xml:space="preserve"> [1</w:t>
      </w:r>
      <w:r w:rsidR="007E29D8" w:rsidRPr="003A26C8">
        <w:rPr>
          <w:rFonts w:hint="eastAsia"/>
          <w:sz w:val="20"/>
          <w:szCs w:val="20"/>
        </w:rPr>
        <w:t xml:space="preserve">] </w:t>
      </w:r>
      <w:r w:rsidR="003A26C8" w:rsidRPr="003A26C8">
        <w:rPr>
          <w:sz w:val="20"/>
          <w:szCs w:val="20"/>
        </w:rPr>
        <w:t>RP-200902</w:t>
      </w:r>
      <w:r w:rsidR="003A26C8">
        <w:rPr>
          <w:rFonts w:hint="eastAsia"/>
          <w:sz w:val="20"/>
          <w:szCs w:val="20"/>
        </w:rPr>
        <w:t xml:space="preserve">, </w:t>
      </w:r>
      <w:r w:rsidR="003A26C8">
        <w:rPr>
          <w:sz w:val="20"/>
          <w:szCs w:val="20"/>
        </w:rPr>
        <w:t>“</w:t>
      </w:r>
      <w:r w:rsidR="003A26C8" w:rsidRPr="003A26C8">
        <w:rPr>
          <w:sz w:val="20"/>
          <w:szCs w:val="20"/>
        </w:rPr>
        <w:t>Revised SID: Study on supporting NR from 52.6GHz to 71 GHz</w:t>
      </w:r>
      <w:r w:rsidR="003A26C8">
        <w:rPr>
          <w:sz w:val="20"/>
          <w:szCs w:val="20"/>
        </w:rPr>
        <w:t>”</w:t>
      </w:r>
      <w:r w:rsidR="003A26C8">
        <w:rPr>
          <w:rFonts w:hint="eastAsia"/>
          <w:sz w:val="20"/>
          <w:szCs w:val="20"/>
        </w:rPr>
        <w:t xml:space="preserve">, </w:t>
      </w:r>
      <w:r w:rsidR="003A26C8" w:rsidRPr="003A26C8">
        <w:rPr>
          <w:sz w:val="20"/>
          <w:szCs w:val="20"/>
        </w:rPr>
        <w:t>Intel Corporation</w:t>
      </w:r>
    </w:p>
    <w:sectPr w:rsidR="007E29D8" w:rsidRPr="003A26C8"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011" w:rsidRDefault="00A57011" w:rsidP="0095591C">
      <w:pPr>
        <w:spacing w:after="60"/>
        <w:ind w:left="210"/>
      </w:pPr>
      <w:r>
        <w:separator/>
      </w:r>
    </w:p>
  </w:endnote>
  <w:endnote w:type="continuationSeparator" w:id="0">
    <w:p w:rsidR="00A57011" w:rsidRDefault="00A5701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76CC3">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011" w:rsidRDefault="00A57011" w:rsidP="0095591C">
      <w:pPr>
        <w:spacing w:after="60"/>
        <w:ind w:left="210"/>
      </w:pPr>
      <w:r>
        <w:separator/>
      </w:r>
    </w:p>
  </w:footnote>
  <w:footnote w:type="continuationSeparator" w:id="0">
    <w:p w:rsidR="00A57011" w:rsidRDefault="00A5701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5">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1"/>
  </w:num>
  <w:num w:numId="4">
    <w:abstractNumId w:val="15"/>
  </w:num>
  <w:num w:numId="5">
    <w:abstractNumId w:val="5"/>
  </w:num>
  <w:num w:numId="6">
    <w:abstractNumId w:val="24"/>
  </w:num>
  <w:num w:numId="7">
    <w:abstractNumId w:val="2"/>
  </w:num>
  <w:num w:numId="8">
    <w:abstractNumId w:val="16"/>
  </w:num>
  <w:num w:numId="9">
    <w:abstractNumId w:val="10"/>
  </w:num>
  <w:num w:numId="10">
    <w:abstractNumId w:val="23"/>
  </w:num>
  <w:num w:numId="11">
    <w:abstractNumId w:val="25"/>
  </w:num>
  <w:num w:numId="12">
    <w:abstractNumId w:val="27"/>
  </w:num>
  <w:num w:numId="13">
    <w:abstractNumId w:val="12"/>
  </w:num>
  <w:num w:numId="14">
    <w:abstractNumId w:val="13"/>
  </w:num>
  <w:num w:numId="15">
    <w:abstractNumId w:val="8"/>
  </w:num>
  <w:num w:numId="16">
    <w:abstractNumId w:val="21"/>
  </w:num>
  <w:num w:numId="17">
    <w:abstractNumId w:val="0"/>
  </w:num>
  <w:num w:numId="18">
    <w:abstractNumId w:val="9"/>
  </w:num>
  <w:num w:numId="19">
    <w:abstractNumId w:val="14"/>
  </w:num>
  <w:num w:numId="20">
    <w:abstractNumId w:val="11"/>
  </w:num>
  <w:num w:numId="21">
    <w:abstractNumId w:val="26"/>
  </w:num>
  <w:num w:numId="22">
    <w:abstractNumId w:val="4"/>
  </w:num>
  <w:num w:numId="23">
    <w:abstractNumId w:val="6"/>
  </w:num>
  <w:num w:numId="24">
    <w:abstractNumId w:val="22"/>
  </w:num>
  <w:num w:numId="25">
    <w:abstractNumId w:val="17"/>
  </w:num>
  <w:num w:numId="26">
    <w:abstractNumId w:val="22"/>
  </w:num>
  <w:num w:numId="27">
    <w:abstractNumId w:val="19"/>
  </w:num>
  <w:num w:numId="28">
    <w:abstractNumId w:val="7"/>
  </w:num>
  <w:num w:numId="29">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CC3"/>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9E"/>
    <w:rsid w:val="000E31E6"/>
    <w:rsid w:val="000E36CC"/>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3BD6"/>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4BC"/>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8A4"/>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CCE"/>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26C8"/>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1D8B"/>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C1C"/>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1FD8"/>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B12"/>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CE"/>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2D5A"/>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BA2"/>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1FD3"/>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4D59"/>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0DAC"/>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20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0A7"/>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85C"/>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206"/>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29D8"/>
    <w:rsid w:val="007E354E"/>
    <w:rsid w:val="007E3825"/>
    <w:rsid w:val="007E3FDB"/>
    <w:rsid w:val="007E45B0"/>
    <w:rsid w:val="007E4A3F"/>
    <w:rsid w:val="007E4B4C"/>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577B9"/>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576"/>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57011"/>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2CF"/>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64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556"/>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3718"/>
    <w:rsid w:val="00C44042"/>
    <w:rsid w:val="00C440F1"/>
    <w:rsid w:val="00C4491E"/>
    <w:rsid w:val="00C44999"/>
    <w:rsid w:val="00C44E43"/>
    <w:rsid w:val="00C450B6"/>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8D8"/>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1D1A"/>
    <w:rsid w:val="00D72080"/>
    <w:rsid w:val="00D72185"/>
    <w:rsid w:val="00D7222D"/>
    <w:rsid w:val="00D72266"/>
    <w:rsid w:val="00D72DB2"/>
    <w:rsid w:val="00D737E6"/>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009"/>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942"/>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6FB2"/>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4598"/>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18314415">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7124848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8563810">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1C90F-456C-4640-8B11-F13B33070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2354</TotalTime>
  <Pages>2</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3887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148</cp:revision>
  <cp:lastPrinted>2007-04-24T00:59:00Z</cp:lastPrinted>
  <dcterms:created xsi:type="dcterms:W3CDTF">2020-01-22T05:22:00Z</dcterms:created>
  <dcterms:modified xsi:type="dcterms:W3CDTF">2020-08-07T09:32:00Z</dcterms:modified>
</cp:coreProperties>
</file>